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CC6" w:rsidRDefault="00BA7CC6">
      <w:pPr>
        <w:pStyle w:val="newncpi0"/>
        <w:jc w:val="center"/>
      </w:pPr>
      <w:r>
        <w:rPr>
          <w:rStyle w:val="name"/>
        </w:rPr>
        <w:t>РЕШЕНИЕ </w:t>
      </w:r>
      <w:r>
        <w:rPr>
          <w:rStyle w:val="promulgator"/>
        </w:rPr>
        <w:t>МОГИЛЕВСКОГО РАЙОННОГО ИСПОЛНИТЕЛЬНОГО КОМИТЕТА</w:t>
      </w:r>
    </w:p>
    <w:p w:rsidR="00BA7CC6" w:rsidRDefault="00BA7CC6">
      <w:pPr>
        <w:pStyle w:val="newncpi"/>
        <w:ind w:firstLine="0"/>
        <w:jc w:val="center"/>
      </w:pPr>
      <w:r>
        <w:rPr>
          <w:rStyle w:val="datepr"/>
        </w:rPr>
        <w:t>24 ноября 2020 г.</w:t>
      </w:r>
      <w:r>
        <w:rPr>
          <w:rStyle w:val="number"/>
        </w:rPr>
        <w:t xml:space="preserve"> № 63-26</w:t>
      </w:r>
    </w:p>
    <w:p w:rsidR="00BA7CC6" w:rsidRDefault="00BA7CC6">
      <w:pPr>
        <w:pStyle w:val="titlencpi"/>
      </w:pPr>
      <w:r>
        <w:t>Об утверждении Инструкции о порядке выдвижения кандидатур для занесения на Доску почета Могилевского района</w:t>
      </w:r>
    </w:p>
    <w:p w:rsidR="00BA7CC6" w:rsidRDefault="00BA7CC6">
      <w:pPr>
        <w:pStyle w:val="preamble"/>
      </w:pPr>
      <w:r>
        <w:t>На основании пункта 1 статьи 40 Закона Республики Беларусь от 4 января 2010 г. № 108-З «О местном управлении и самоуправлении в Республике Беларусь» Могилевский районный исполнительный комитет РЕШИЛ:</w:t>
      </w:r>
    </w:p>
    <w:p w:rsidR="00BA7CC6" w:rsidRDefault="00BA7CC6">
      <w:pPr>
        <w:pStyle w:val="point"/>
      </w:pPr>
      <w:r>
        <w:t>1. Утвердить Инструкцию о порядке выдвижения кандидатур для занесения на Доску почета Могилевского района (прилагается).</w:t>
      </w:r>
    </w:p>
    <w:p w:rsidR="00BA7CC6" w:rsidRDefault="00BA7CC6">
      <w:pPr>
        <w:pStyle w:val="point"/>
      </w:pPr>
      <w:r>
        <w:t>2. Признать утратившим силу решение Могилевского районного исполнительного комитета от 19 ноября 2018 г. № 57-25 «Об утверждении Инструкции о порядке выдвижения кандидатур для занесения на Доску почета Могилевского района».</w:t>
      </w:r>
    </w:p>
    <w:p w:rsidR="00BA7CC6" w:rsidRDefault="00BA7CC6">
      <w:pPr>
        <w:pStyle w:val="point"/>
      </w:pPr>
      <w:r>
        <w:t>3. Настоящее решение вступает в силу после его официального опубликования.</w:t>
      </w:r>
    </w:p>
    <w:p w:rsidR="00BA7CC6" w:rsidRDefault="00BA7CC6">
      <w:pPr>
        <w:pStyle w:val="newncpi"/>
      </w:pPr>
      <w:r>
        <w:t> </w:t>
      </w:r>
    </w:p>
    <w:tbl>
      <w:tblPr>
        <w:tblW w:w="5000" w:type="pct"/>
        <w:tblCellMar>
          <w:left w:w="0" w:type="dxa"/>
          <w:right w:w="0" w:type="dxa"/>
        </w:tblCellMar>
        <w:tblLook w:val="04A0"/>
      </w:tblPr>
      <w:tblGrid>
        <w:gridCol w:w="4684"/>
        <w:gridCol w:w="4685"/>
      </w:tblGrid>
      <w:tr w:rsidR="00BA7CC6">
        <w:tc>
          <w:tcPr>
            <w:tcW w:w="2500" w:type="pct"/>
            <w:tcMar>
              <w:top w:w="0" w:type="dxa"/>
              <w:left w:w="6" w:type="dxa"/>
              <w:bottom w:w="0" w:type="dxa"/>
              <w:right w:w="6" w:type="dxa"/>
            </w:tcMar>
            <w:vAlign w:val="bottom"/>
            <w:hideMark/>
          </w:tcPr>
          <w:p w:rsidR="00BA7CC6" w:rsidRDefault="00BA7CC6">
            <w:pPr>
              <w:pStyle w:val="newncpi0"/>
              <w:jc w:val="left"/>
            </w:pPr>
            <w:r>
              <w:rPr>
                <w:rStyle w:val="post"/>
              </w:rPr>
              <w:t>Председатель</w:t>
            </w:r>
          </w:p>
        </w:tc>
        <w:tc>
          <w:tcPr>
            <w:tcW w:w="2500" w:type="pct"/>
            <w:tcMar>
              <w:top w:w="0" w:type="dxa"/>
              <w:left w:w="6" w:type="dxa"/>
              <w:bottom w:w="0" w:type="dxa"/>
              <w:right w:w="6" w:type="dxa"/>
            </w:tcMar>
            <w:vAlign w:val="bottom"/>
            <w:hideMark/>
          </w:tcPr>
          <w:p w:rsidR="00BA7CC6" w:rsidRDefault="00BA7CC6">
            <w:pPr>
              <w:pStyle w:val="newncpi0"/>
              <w:jc w:val="right"/>
            </w:pPr>
            <w:r>
              <w:rPr>
                <w:rStyle w:val="pers"/>
              </w:rPr>
              <w:t>О.И.Чикида</w:t>
            </w:r>
          </w:p>
        </w:tc>
      </w:tr>
      <w:tr w:rsidR="00BA7CC6">
        <w:tc>
          <w:tcPr>
            <w:tcW w:w="2500" w:type="pct"/>
            <w:tcMar>
              <w:top w:w="0" w:type="dxa"/>
              <w:left w:w="6" w:type="dxa"/>
              <w:bottom w:w="0" w:type="dxa"/>
              <w:right w:w="6" w:type="dxa"/>
            </w:tcMar>
            <w:vAlign w:val="bottom"/>
            <w:hideMark/>
          </w:tcPr>
          <w:p w:rsidR="00BA7CC6" w:rsidRDefault="00BA7CC6">
            <w:pPr>
              <w:pStyle w:val="newncpi0"/>
              <w:jc w:val="left"/>
            </w:pPr>
            <w:r>
              <w:t> </w:t>
            </w:r>
          </w:p>
        </w:tc>
        <w:tc>
          <w:tcPr>
            <w:tcW w:w="2500" w:type="pct"/>
            <w:tcMar>
              <w:top w:w="0" w:type="dxa"/>
              <w:left w:w="6" w:type="dxa"/>
              <w:bottom w:w="0" w:type="dxa"/>
              <w:right w:w="6" w:type="dxa"/>
            </w:tcMar>
            <w:vAlign w:val="bottom"/>
            <w:hideMark/>
          </w:tcPr>
          <w:p w:rsidR="00BA7CC6" w:rsidRDefault="00BA7CC6">
            <w:pPr>
              <w:pStyle w:val="newncpi0"/>
              <w:jc w:val="right"/>
            </w:pPr>
            <w:r>
              <w:t> </w:t>
            </w:r>
          </w:p>
        </w:tc>
      </w:tr>
      <w:tr w:rsidR="00BA7CC6">
        <w:tc>
          <w:tcPr>
            <w:tcW w:w="2500" w:type="pct"/>
            <w:tcMar>
              <w:top w:w="0" w:type="dxa"/>
              <w:left w:w="6" w:type="dxa"/>
              <w:bottom w:w="0" w:type="dxa"/>
              <w:right w:w="6" w:type="dxa"/>
            </w:tcMar>
            <w:vAlign w:val="bottom"/>
            <w:hideMark/>
          </w:tcPr>
          <w:p w:rsidR="00BA7CC6" w:rsidRDefault="00BA7CC6">
            <w:pPr>
              <w:pStyle w:val="newncpi0"/>
              <w:jc w:val="left"/>
            </w:pPr>
            <w:r>
              <w:rPr>
                <w:rStyle w:val="post"/>
              </w:rPr>
              <w:t>Управляющий делами</w:t>
            </w:r>
          </w:p>
        </w:tc>
        <w:tc>
          <w:tcPr>
            <w:tcW w:w="2500" w:type="pct"/>
            <w:tcMar>
              <w:top w:w="0" w:type="dxa"/>
              <w:left w:w="6" w:type="dxa"/>
              <w:bottom w:w="0" w:type="dxa"/>
              <w:right w:w="6" w:type="dxa"/>
            </w:tcMar>
            <w:vAlign w:val="bottom"/>
            <w:hideMark/>
          </w:tcPr>
          <w:p w:rsidR="00BA7CC6" w:rsidRDefault="00BA7CC6">
            <w:pPr>
              <w:pStyle w:val="newncpi0"/>
              <w:jc w:val="right"/>
            </w:pPr>
            <w:r>
              <w:rPr>
                <w:rStyle w:val="pers"/>
              </w:rPr>
              <w:t>А.Н.Маргунов</w:t>
            </w:r>
          </w:p>
        </w:tc>
      </w:tr>
    </w:tbl>
    <w:p w:rsidR="00BA7CC6" w:rsidRDefault="00BA7CC6">
      <w:pPr>
        <w:pStyle w:val="newncpi0"/>
      </w:pPr>
      <w:r>
        <w:t> </w:t>
      </w:r>
    </w:p>
    <w:tbl>
      <w:tblPr>
        <w:tblW w:w="5000" w:type="pct"/>
        <w:tblCellMar>
          <w:left w:w="0" w:type="dxa"/>
          <w:right w:w="0" w:type="dxa"/>
        </w:tblCellMar>
        <w:tblLook w:val="04A0"/>
      </w:tblPr>
      <w:tblGrid>
        <w:gridCol w:w="6772"/>
        <w:gridCol w:w="2597"/>
      </w:tblGrid>
      <w:tr w:rsidR="00BA7CC6">
        <w:tc>
          <w:tcPr>
            <w:tcW w:w="3614" w:type="pct"/>
            <w:tcMar>
              <w:top w:w="0" w:type="dxa"/>
              <w:left w:w="6" w:type="dxa"/>
              <w:bottom w:w="0" w:type="dxa"/>
              <w:right w:w="6" w:type="dxa"/>
            </w:tcMar>
            <w:hideMark/>
          </w:tcPr>
          <w:p w:rsidR="00BA7CC6" w:rsidRDefault="00BA7CC6">
            <w:pPr>
              <w:pStyle w:val="newncpi"/>
            </w:pPr>
            <w:r>
              <w:t> </w:t>
            </w:r>
          </w:p>
        </w:tc>
        <w:tc>
          <w:tcPr>
            <w:tcW w:w="1386" w:type="pct"/>
            <w:tcMar>
              <w:top w:w="0" w:type="dxa"/>
              <w:left w:w="6" w:type="dxa"/>
              <w:bottom w:w="0" w:type="dxa"/>
              <w:right w:w="6" w:type="dxa"/>
            </w:tcMar>
            <w:hideMark/>
          </w:tcPr>
          <w:p w:rsidR="00BA7CC6" w:rsidRDefault="00BA7CC6">
            <w:pPr>
              <w:pStyle w:val="capu1"/>
            </w:pPr>
            <w:r>
              <w:t>УТВЕРЖДЕНО</w:t>
            </w:r>
          </w:p>
          <w:p w:rsidR="00BA7CC6" w:rsidRDefault="00BA7CC6">
            <w:pPr>
              <w:pStyle w:val="cap1"/>
            </w:pPr>
            <w:r>
              <w:t xml:space="preserve">Решение </w:t>
            </w:r>
            <w:r>
              <w:br/>
              <w:t xml:space="preserve">Могилевского районного </w:t>
            </w:r>
            <w:r>
              <w:br/>
              <w:t>исполнительного комитета</w:t>
            </w:r>
          </w:p>
          <w:p w:rsidR="00BA7CC6" w:rsidRDefault="00BA7CC6">
            <w:pPr>
              <w:pStyle w:val="cap1"/>
            </w:pPr>
            <w:r>
              <w:t>24.11.2020 № 63-26</w:t>
            </w:r>
          </w:p>
        </w:tc>
      </w:tr>
    </w:tbl>
    <w:p w:rsidR="00BA7CC6" w:rsidRDefault="00BA7CC6">
      <w:pPr>
        <w:pStyle w:val="titleu"/>
      </w:pPr>
      <w:r>
        <w:t>ИНСТРУКЦИЯ</w:t>
      </w:r>
      <w:r>
        <w:br/>
        <w:t>о порядке выдвижения кандидатур</w:t>
      </w:r>
      <w:r>
        <w:br/>
        <w:t>для занесения на Доску почета Могилевского района</w:t>
      </w:r>
    </w:p>
    <w:p w:rsidR="00BA7CC6" w:rsidRDefault="00BA7CC6">
      <w:pPr>
        <w:pStyle w:val="point"/>
      </w:pPr>
      <w:r>
        <w:t>1. Настоящая Инструкция определяет условия и порядок занесения на Доску почета Могилевского района (далее – Доска почета) организаций всех форм собственности, работников организаций Могилевского района по итогам работы за отчетный год.</w:t>
      </w:r>
    </w:p>
    <w:p w:rsidR="00BA7CC6" w:rsidRDefault="00BA7CC6">
      <w:pPr>
        <w:pStyle w:val="point"/>
      </w:pPr>
      <w:r>
        <w:t>2. Занесение на Доску почета является общественным признанием и моральным поощрением трудовых коллективов и отдельных тружеников, признанных победителями ежегодного соревнования по социально-экономическому развитию Могилевского района (далее – соревнование).</w:t>
      </w:r>
    </w:p>
    <w:p w:rsidR="00BA7CC6" w:rsidRDefault="00BA7CC6">
      <w:pPr>
        <w:pStyle w:val="point"/>
      </w:pPr>
      <w:r>
        <w:t>3. Общее количество мест на Доске почета – 30, из них 14 – для трудовых коллективов и 16 – для победителей индивидуальных соревнований по ведущим профессиям;</w:t>
      </w:r>
    </w:p>
    <w:p w:rsidR="00BA7CC6" w:rsidRDefault="00BA7CC6">
      <w:pPr>
        <w:pStyle w:val="underpoint"/>
      </w:pPr>
      <w:r>
        <w:t>3.1. к трудовым коллективам относятся:</w:t>
      </w:r>
    </w:p>
    <w:p w:rsidR="00BA7CC6" w:rsidRDefault="00BA7CC6">
      <w:pPr>
        <w:pStyle w:val="newncpi"/>
      </w:pPr>
      <w:r>
        <w:t xml:space="preserve">коллективы, признанные победителями соревнования и награжденные переходящими Почетными знаменами Могилевского районного исполнительного комитета по номинациям «За достигнутые высокие показатели в развитии сельскохозяйственного производства» (коллектив сельскохозяйственной организации, ее обособленного структурного подразделения, крестьянского (фермерского) хозяйства), «За достигнутые высокие показатели в развитии промышленного производства» (коллектив промышленной организации), «За достигнутые высокие показатели в социально-культурном развитии» (коллектив организации социально-культурной сферы: образования, культуры, здравоохранения, физической культуры, спорта и туризма), «За </w:t>
      </w:r>
      <w:r>
        <w:lastRenderedPageBreak/>
        <w:t>достигнутые высокие показатели в соревновании среди сельских исполнительных комитетов» (коллектив сельского исполнительного комитета), – 4 места;</w:t>
      </w:r>
    </w:p>
    <w:p w:rsidR="00BA7CC6" w:rsidRDefault="00BA7CC6">
      <w:pPr>
        <w:pStyle w:val="newncpi"/>
      </w:pPr>
      <w:r>
        <w:t>коллектив строительной, дорожно-строительной организации, организации жилищно-коммунального хозяйства, торговли, общественного питания, связи, энергетики, бытового обслуживания, лесного хозяйства, признанный победителем соревнования и занявший первое место, коллективы обособленных структурных подразделений организаций жилищно-коммунального хозяйства, торговли, лесного хозяйства, признанные победителями соревнования по номинациям «Лучший участок жилищно-коммунального хозяйства», «Лучший объект розничной торговли», «Лучшее лесничество», – 4 места;</w:t>
      </w:r>
    </w:p>
    <w:p w:rsidR="00BA7CC6" w:rsidRDefault="00BA7CC6">
      <w:pPr>
        <w:pStyle w:val="newncpi"/>
      </w:pPr>
      <w:r>
        <w:t>коллективы организаций социально-культурной сферы: образования, культуры, здравоохранения, физической культуры, спорта и туризма, признанные победителями соревнования по номинациям «Лучшее учреждение общего среднего образования», «Лучшее учреждение дошкольного образования», «Лучшее учреждение культуры», «Лучшая детская школа искусств (филиал)», «Лучшее учреждение здравоохранения», «Лучшее учреждение, трудовой коллектив по развитию физической культуры, спорта и туризма», за исключением коллектива, награжденного переходящим Почетным знаменем Могилевского районного исполнительного комитета, – 5 мест;</w:t>
      </w:r>
    </w:p>
    <w:p w:rsidR="00BA7CC6" w:rsidRDefault="00BA7CC6">
      <w:pPr>
        <w:pStyle w:val="newncpi"/>
      </w:pPr>
      <w:r>
        <w:t>коллектив организации негосударственного сектора экономики или индивидуальный предприниматель, признанный победителем соревнования по номинации «Лучший предприниматель», – 1 место;</w:t>
      </w:r>
    </w:p>
    <w:p w:rsidR="00BA7CC6" w:rsidRDefault="00BA7CC6">
      <w:pPr>
        <w:pStyle w:val="underpoint"/>
      </w:pPr>
      <w:r>
        <w:t>3.2. к отдельным труженикам относятся победители индивидуальных соревнований по ведущим профессиям среди работников организаций:</w:t>
      </w:r>
    </w:p>
    <w:p w:rsidR="00BA7CC6" w:rsidRDefault="00BA7CC6">
      <w:pPr>
        <w:pStyle w:val="newncpi"/>
      </w:pPr>
      <w:r>
        <w:t>сельского хозяйства, признанных победителями соревнования по номинациям «Лучший оператор машинного доения», «Лучший механизатор», «Лучший овощевод», «Лучший оператор по выращиванию бройлеров», «Лучший оператор по выращиванию крупного рогатого скота до шестимесячного возраста», «Лучший оператор по откорму свиней», «Лучший работник лесного хозяйства», – 7 мест;</w:t>
      </w:r>
    </w:p>
    <w:p w:rsidR="00BA7CC6" w:rsidRDefault="00BA7CC6">
      <w:pPr>
        <w:pStyle w:val="newncpi"/>
      </w:pPr>
      <w:r>
        <w:t>промышленных, строительных и дорожно-строительных организаций, признанных победителями соревнования по номинациям «Лучший работник промышленного предприятия», «Лучший строитель», «Лучший работник дорожно-ремонтной службы», – 3 места;</w:t>
      </w:r>
    </w:p>
    <w:p w:rsidR="00BA7CC6" w:rsidRDefault="00BA7CC6">
      <w:pPr>
        <w:pStyle w:val="newncpi"/>
      </w:pPr>
      <w:r>
        <w:t>сферы услуг, признанных победителями соревнования по номинациям «Лучший водитель», «Лучший работник сферы обслуживания», «Лучший работник торговли», – 3 места;</w:t>
      </w:r>
    </w:p>
    <w:p w:rsidR="00BA7CC6" w:rsidRDefault="00BA7CC6">
      <w:pPr>
        <w:pStyle w:val="newncpi"/>
      </w:pPr>
      <w:r>
        <w:t>сферы образования, культуры, здравоохранения, физической культуры, спорта и туризма, признанных победителями соревнования по номинациям «Лучший педагогический работник», «Лучший работник культуры», «Лучший работник сферы спорта и туризма», – 3 места.</w:t>
      </w:r>
    </w:p>
    <w:p w:rsidR="00BA7CC6" w:rsidRDefault="00BA7CC6">
      <w:pPr>
        <w:pStyle w:val="point"/>
      </w:pPr>
      <w:r>
        <w:t>4. Информация о занесении на Доску почета организаций и их работников публикуется в районной газете «Прыдняпроўская ніва» и размещается на официальном сайте Могилевского районного исполнительного комитета в глобальной компьютерной сети Интернет.</w:t>
      </w:r>
    </w:p>
    <w:p w:rsidR="00BA7CC6" w:rsidRDefault="00BA7CC6">
      <w:pPr>
        <w:pStyle w:val="point"/>
      </w:pPr>
      <w:r>
        <w:t>5. Финансирование расходов, связанных с изготовлением и ежегодным переоформлением Доски почета (оформительские работы, изготовление фотографий и другое), осуществляется за счет средств районного бюджета.</w:t>
      </w:r>
    </w:p>
    <w:p w:rsidR="00BA7CC6" w:rsidRDefault="00BA7CC6">
      <w:pPr>
        <w:pStyle w:val="point"/>
      </w:pPr>
      <w:r>
        <w:t>6. Доска почета оформляется ежегодно до 1 мая.</w:t>
      </w:r>
    </w:p>
    <w:p w:rsidR="00BA7CC6" w:rsidRDefault="00BA7CC6">
      <w:pPr>
        <w:pStyle w:val="newncpi"/>
      </w:pPr>
      <w:r>
        <w:t> </w:t>
      </w:r>
    </w:p>
    <w:p w:rsidR="00346E21" w:rsidRDefault="00346E21"/>
    <w:sectPr w:rsidR="00346E21" w:rsidSect="00BA7CC6">
      <w:headerReference w:type="even" r:id="rId6"/>
      <w:headerReference w:type="default" r:id="rId7"/>
      <w:pgSz w:w="11906" w:h="16838"/>
      <w:pgMar w:top="1134" w:right="1133" w:bottom="1134" w:left="141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F96" w:rsidRDefault="00E96F96" w:rsidP="00BA7CC6">
      <w:pPr>
        <w:pStyle w:val="a4"/>
        <w:spacing w:after="0" w:line="240" w:lineRule="auto"/>
      </w:pPr>
      <w:r>
        <w:separator/>
      </w:r>
    </w:p>
  </w:endnote>
  <w:endnote w:type="continuationSeparator" w:id="1">
    <w:p w:rsidR="00E96F96" w:rsidRDefault="00E96F96" w:rsidP="00BA7CC6">
      <w:pPr>
        <w:pStyle w:val="a4"/>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F96" w:rsidRDefault="00E96F96" w:rsidP="00BA7CC6">
      <w:pPr>
        <w:pStyle w:val="a4"/>
        <w:spacing w:after="0" w:line="240" w:lineRule="auto"/>
      </w:pPr>
      <w:r>
        <w:separator/>
      </w:r>
    </w:p>
  </w:footnote>
  <w:footnote w:type="continuationSeparator" w:id="1">
    <w:p w:rsidR="00E96F96" w:rsidRDefault="00E96F96" w:rsidP="00BA7CC6">
      <w:pPr>
        <w:pStyle w:val="a4"/>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CC6" w:rsidRDefault="00BA7CC6" w:rsidP="00FC36F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A7CC6" w:rsidRDefault="00BA7CC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CC6" w:rsidRDefault="00BA7CC6" w:rsidP="00FC36F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BA7CC6" w:rsidRDefault="00BA7CC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A7CC6"/>
    <w:rsid w:val="001B7FDB"/>
    <w:rsid w:val="00346E21"/>
    <w:rsid w:val="00BA7CC6"/>
    <w:rsid w:val="00E96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E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BA7CC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BA7CC6"/>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BA7CC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A7CC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BA7CC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ap1">
    <w:name w:val="cap1"/>
    <w:basedOn w:val="a"/>
    <w:rsid w:val="00BA7CC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A7CC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A7CC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A7CC6"/>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BA7CC6"/>
    <w:rPr>
      <w:rFonts w:ascii="Times New Roman" w:hAnsi="Times New Roman" w:cs="Times New Roman" w:hint="default"/>
      <w:caps/>
    </w:rPr>
  </w:style>
  <w:style w:type="character" w:customStyle="1" w:styleId="promulgator">
    <w:name w:val="promulgator"/>
    <w:basedOn w:val="a0"/>
    <w:rsid w:val="00BA7CC6"/>
    <w:rPr>
      <w:rFonts w:ascii="Times New Roman" w:hAnsi="Times New Roman" w:cs="Times New Roman" w:hint="default"/>
      <w:caps/>
    </w:rPr>
  </w:style>
  <w:style w:type="character" w:customStyle="1" w:styleId="datepr">
    <w:name w:val="datepr"/>
    <w:basedOn w:val="a0"/>
    <w:rsid w:val="00BA7CC6"/>
    <w:rPr>
      <w:rFonts w:ascii="Times New Roman" w:hAnsi="Times New Roman" w:cs="Times New Roman" w:hint="default"/>
    </w:rPr>
  </w:style>
  <w:style w:type="character" w:customStyle="1" w:styleId="number">
    <w:name w:val="number"/>
    <w:basedOn w:val="a0"/>
    <w:rsid w:val="00BA7CC6"/>
    <w:rPr>
      <w:rFonts w:ascii="Times New Roman" w:hAnsi="Times New Roman" w:cs="Times New Roman" w:hint="default"/>
    </w:rPr>
  </w:style>
  <w:style w:type="character" w:customStyle="1" w:styleId="post">
    <w:name w:val="post"/>
    <w:basedOn w:val="a0"/>
    <w:rsid w:val="00BA7CC6"/>
    <w:rPr>
      <w:rFonts w:ascii="Times New Roman" w:hAnsi="Times New Roman" w:cs="Times New Roman" w:hint="default"/>
      <w:b/>
      <w:bCs/>
      <w:sz w:val="22"/>
      <w:szCs w:val="22"/>
    </w:rPr>
  </w:style>
  <w:style w:type="character" w:customStyle="1" w:styleId="pers">
    <w:name w:val="pers"/>
    <w:basedOn w:val="a0"/>
    <w:rsid w:val="00BA7CC6"/>
    <w:rPr>
      <w:rFonts w:ascii="Times New Roman" w:hAnsi="Times New Roman" w:cs="Times New Roman" w:hint="default"/>
      <w:b/>
      <w:bCs/>
      <w:sz w:val="22"/>
      <w:szCs w:val="22"/>
    </w:rPr>
  </w:style>
  <w:style w:type="paragraph" w:styleId="a3">
    <w:name w:val="header"/>
    <w:basedOn w:val="a"/>
    <w:link w:val="a4"/>
    <w:uiPriority w:val="99"/>
    <w:semiHidden/>
    <w:unhideWhenUsed/>
    <w:rsid w:val="00BA7CC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A7CC6"/>
  </w:style>
  <w:style w:type="paragraph" w:styleId="a5">
    <w:name w:val="footer"/>
    <w:basedOn w:val="a"/>
    <w:link w:val="a6"/>
    <w:uiPriority w:val="99"/>
    <w:semiHidden/>
    <w:unhideWhenUsed/>
    <w:rsid w:val="00BA7CC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A7CC6"/>
  </w:style>
  <w:style w:type="character" w:styleId="a7">
    <w:name w:val="page number"/>
    <w:basedOn w:val="a0"/>
    <w:uiPriority w:val="99"/>
    <w:semiHidden/>
    <w:unhideWhenUsed/>
    <w:rsid w:val="00BA7C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4944</Characters>
  <Application>Microsoft Office Word</Application>
  <DocSecurity>0</DocSecurity>
  <Lines>100</Lines>
  <Paragraphs>34</Paragraphs>
  <ScaleCrop>false</ScaleCrop>
  <Company>Microsoft</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2021-01-27T06:32:00Z</dcterms:created>
  <dcterms:modified xsi:type="dcterms:W3CDTF">2021-01-27T06:33:00Z</dcterms:modified>
</cp:coreProperties>
</file>