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ИНСПЕКЦИЯ МИНИСТЕРСТВА ПО НАЛОГАМ И СБОРАМ РЕСПУБЛИКИ БЕЛАРУСЬ ПО</w:t>
        <w:br/>
        <w:t>МОГИЛЕВСКОЙ ОБЛАСТИ</w:t>
        <w:br/>
        <w:t>ИНФОРМИРУЕТ: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СДАЧА ЖИЛЫХ (НЕЖИЛЫХ) ПОМЕЩЕНИЙ ВНАЕМ (АРЕНДУ)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сдаче гражданами жилых (нежилых) помещений, машино-мест внаем (аренду) другим лицам (гражданам) необходимо произвести следующие действия: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20"/>
        <w:jc w:val="both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заключить в письменной форме договор найма жилого помещения (аренды нежилого помещения).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Формы договоров найма частного жилищного фонда (аренды нежилого помещения) утверждены постановлением Совета Министров Республики Беларусь от 12.09.2006 № 1191 «О мерах по реализации Указа Президента Республики Беларусь от 04.08.2006 № 497».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Несоблюдение установленной законодательством формы договора не освобождает лицо от обязанности уплаты подоходного налога в фиксированных суммах.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20"/>
        <w:jc w:val="both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до установленного в договоре срока фактического предоставления помещения внаем (аренду) зарегистрировать договор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в местном исполнительном и распорядительном органе или в организации, осуществляющей эксплуатацию жилищного фонда и (или) предоставляющей жилищно</w:t>
        <w:softHyphen/>
        <w:t>коммунальные услуги.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Процедура регистрации договора найма бесплатная.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6" w:val="left"/>
        </w:tabs>
        <w:bidi w:val="0"/>
        <w:spacing w:before="0" w:after="0" w:line="240" w:lineRule="auto"/>
        <w:ind w:left="0" w:right="0" w:firstLine="660"/>
        <w:jc w:val="both"/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произвести уплату подоходного налога в фиксированных суммах.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Доходы, получаемые от сдачи жилых и нежилых помещений, машино-мест, находящихся на территории Республики Беларусь, облагаются подоходным налогом по ставкам, установленным согласно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приложению 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к Налоговому кодексу Республики Беларусь (далее - Кодекс), с учетом решений областных (Минского городского) Советов депутатов, принятых в соответствии с </w:t>
      </w:r>
      <w:r>
        <w:rPr>
          <w:color w:val="000000"/>
          <w:spacing w:val="0"/>
          <w:w w:val="100"/>
          <w:position w:val="0"/>
          <w:sz w:val="24"/>
          <w:szCs w:val="24"/>
        </w:rPr>
        <w:t>частью третьей пункта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2 статьи 214 </w:t>
      </w:r>
      <w:r>
        <w:rPr>
          <w:color w:val="000000"/>
          <w:spacing w:val="0"/>
          <w:w w:val="100"/>
          <w:position w:val="0"/>
          <w:sz w:val="24"/>
          <w:szCs w:val="24"/>
        </w:rPr>
        <w:t>Кодекса, для той категории населенного пункта, на территории которого находятся сдаваемые физическим лицам в аренду жилое и (или) нежилое помещения, машино-место.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Ставки подоходного налога с физических лиц в фиксированных суммах за сдачу жилых и нежилых помещений, машино-мест, расположенных на территории Могилевской области приведены в таблице:</w:t>
      </w:r>
    </w:p>
    <w:tbl>
      <w:tblPr>
        <w:tblOverlap w:val="never"/>
        <w:jc w:val="center"/>
        <w:tblLayout w:type="fixed"/>
      </w:tblPr>
      <w:tblGrid>
        <w:gridCol w:w="2630"/>
        <w:gridCol w:w="2179"/>
        <w:gridCol w:w="1987"/>
        <w:gridCol w:w="1699"/>
        <w:gridCol w:w="2069"/>
      </w:tblGrid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Наименование населенных пунктов и иных территорий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нежилые помещения, машино-места</w:t>
            </w: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металлический или деревянный гараж, машино-место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железобетонный или кирпичный гараж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другие нежилые помещения (за 1 кв. метр площади)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Город Могилев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4,70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Города Бобруйск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3,60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Иные города областного, районного подчинения и поселки городского типа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3,60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Иные населенные пункты и территории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11,90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2,40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Ознакомиться со ставками налога в других областях можно на официальном сайте Министерства по налогам и сборам </w:t>
      </w:r>
      <w:r>
        <w:fldChar w:fldCharType="begin"/>
      </w:r>
      <w:r>
        <w:rPr/>
        <w:instrText> HYPERLINK "http://www.nalog.gov.by/"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www.nalog.gov.by 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>в разделе: Физическим лицам / Уплата подоходного налога с доходов от сдачи внаем жилых и нежилых помещений.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Уплатить подоходный налог необходимо: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не позднее рабочего дня, следующего за установленным в договоре сроком фактического предоставления в аренду физическим лицам жилых и (или) нежилых помещений, машино-места, а в последующем - ежемесячно не позднее 1-го числа месяца, за который осуществляется уплата подоходного налога с физических лиц в фиксированных суммах.</w:t>
      </w:r>
    </w:p>
    <w:sectPr>
      <w:footnotePr>
        <w:pos w:val="pageBottom"/>
        <w:numFmt w:val="decimal"/>
        <w:numRestart w:val="continuous"/>
      </w:footnotePr>
      <w:pgSz w:w="11900" w:h="16840"/>
      <w:pgMar w:top="260" w:right="387" w:bottom="260" w:left="535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701_Surovceva</dc:creator>
  <cp:keywords/>
</cp:coreProperties>
</file>